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r>
        <w:rPr>
          <w:b w:val="0"/>
        </w:rPr>
        <w:t>заочная  форма обучения</w:t>
      </w:r>
      <w:r w:rsidRPr="005166B2">
        <w:rPr>
          <w:b w:val="0"/>
        </w:rPr>
        <w:t>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bookmarkStart w:id="1" w:name="_GoBack"/>
      <w:bookmarkEnd w:id="1"/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«Компьютерный практикум»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</w:t>
      </w:r>
      <w:r w:rsidR="001F5269">
        <w:t>офиль «Менеджмент организации».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695F51"/>
    <w:rsid w:val="00A32FD6"/>
    <w:rsid w:val="00AB5F5C"/>
    <w:rsid w:val="00DB2BF3"/>
    <w:rsid w:val="00DD3C86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948F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1060D-613E-4468-8466-C5554516DB1C}"/>
</file>

<file path=customXml/itemProps2.xml><?xml version="1.0" encoding="utf-8"?>
<ds:datastoreItem xmlns:ds="http://schemas.openxmlformats.org/officeDocument/2006/customXml" ds:itemID="{0F028DDD-EA76-4DE9-8A14-877C51AADE4E}"/>
</file>

<file path=customXml/itemProps3.xml><?xml version="1.0" encoding="utf-8"?>
<ds:datastoreItem xmlns:ds="http://schemas.openxmlformats.org/officeDocument/2006/customXml" ds:itemID="{7FC96768-4AB8-42E8-A88F-30BF70C82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2018-03-30T13:10:00Z</dcterms:created>
  <dcterms:modified xsi:type="dcterms:W3CDTF">2020-11-10T07:10:00Z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